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B77" w:rsidRDefault="002B6B77" w:rsidP="002B6B77">
      <w:pPr>
        <w:spacing w:line="600" w:lineRule="exact"/>
        <w:rPr>
          <w:rFonts w:ascii="方正小标宋_GBK" w:eastAsia="方正小标宋_GBK"/>
          <w:sz w:val="32"/>
          <w:szCs w:val="36"/>
        </w:rPr>
      </w:pPr>
      <w:r w:rsidRPr="002B6B77">
        <w:rPr>
          <w:rFonts w:ascii="方正小标宋_GBK" w:eastAsia="方正小标宋_GBK" w:hint="eastAsia"/>
          <w:sz w:val="32"/>
          <w:szCs w:val="36"/>
        </w:rPr>
        <w:t>附件2</w:t>
      </w:r>
      <w:bookmarkStart w:id="0" w:name="_GoBack"/>
      <w:bookmarkEnd w:id="0"/>
    </w:p>
    <w:p w:rsidR="002B6B77" w:rsidRPr="002B6B77" w:rsidRDefault="002B6B77" w:rsidP="002B6B77">
      <w:pPr>
        <w:spacing w:line="600" w:lineRule="exact"/>
        <w:rPr>
          <w:rFonts w:ascii="方正小标宋_GBK" w:eastAsia="方正小标宋_GBK"/>
          <w:sz w:val="32"/>
          <w:szCs w:val="36"/>
        </w:rPr>
      </w:pPr>
    </w:p>
    <w:p w:rsidR="002B6B77" w:rsidRPr="002B6B77" w:rsidRDefault="002B6B77" w:rsidP="002B6B77">
      <w:pPr>
        <w:spacing w:line="600" w:lineRule="exact"/>
        <w:jc w:val="center"/>
        <w:rPr>
          <w:rFonts w:ascii="方正小标宋_GBK" w:eastAsia="方正小标宋_GBK" w:hint="eastAsia"/>
          <w:sz w:val="40"/>
          <w:szCs w:val="36"/>
        </w:rPr>
      </w:pPr>
      <w:r w:rsidRPr="002B6B77">
        <w:rPr>
          <w:rFonts w:ascii="方正小标宋_GBK" w:eastAsia="方正小标宋_GBK" w:hint="eastAsia"/>
          <w:sz w:val="40"/>
          <w:szCs w:val="36"/>
        </w:rPr>
        <w:t>重庆市高校思想政治教育“十大育人”精品项目名单</w:t>
      </w:r>
    </w:p>
    <w:tbl>
      <w:tblPr>
        <w:tblStyle w:val="a7"/>
        <w:tblW w:w="9599" w:type="dxa"/>
        <w:tblLook w:val="04A0" w:firstRow="1" w:lastRow="0" w:firstColumn="1" w:lastColumn="0" w:noHBand="0" w:noVBand="1"/>
      </w:tblPr>
      <w:tblGrid>
        <w:gridCol w:w="959"/>
        <w:gridCol w:w="2328"/>
        <w:gridCol w:w="1351"/>
        <w:gridCol w:w="4961"/>
      </w:tblGrid>
      <w:tr w:rsidR="002B6B77" w:rsidTr="002B6B77">
        <w:trPr>
          <w:trHeight w:val="630"/>
        </w:trPr>
        <w:tc>
          <w:tcPr>
            <w:tcW w:w="959" w:type="dxa"/>
            <w:vAlign w:val="center"/>
            <w:hideMark/>
          </w:tcPr>
          <w:p w:rsidR="002B6B77" w:rsidRDefault="002B6B77">
            <w:pPr>
              <w:widowControl/>
              <w:jc w:val="center"/>
              <w:rPr>
                <w:rFonts w:ascii="方正粗宋简体" w:eastAsia="方正粗宋简体" w:hAnsi="等线" w:cs="宋体" w:hint="eastAsia"/>
                <w:b/>
                <w:bCs/>
                <w:kern w:val="0"/>
                <w:sz w:val="24"/>
              </w:rPr>
            </w:pPr>
            <w:r>
              <w:rPr>
                <w:rFonts w:ascii="方正粗宋简体" w:eastAsia="方正粗宋简体" w:hAnsi="等线" w:cs="宋体" w:hint="eastAsia"/>
                <w:b/>
                <w:bCs/>
                <w:kern w:val="0"/>
                <w:sz w:val="24"/>
              </w:rPr>
              <w:t>序号</w:t>
            </w:r>
          </w:p>
        </w:tc>
        <w:tc>
          <w:tcPr>
            <w:tcW w:w="2328" w:type="dxa"/>
            <w:vAlign w:val="center"/>
            <w:hideMark/>
          </w:tcPr>
          <w:p w:rsidR="002B6B77" w:rsidRDefault="002B6B77">
            <w:pPr>
              <w:widowControl/>
              <w:jc w:val="center"/>
              <w:rPr>
                <w:rFonts w:ascii="方正粗宋简体" w:eastAsia="方正粗宋简体" w:hAnsi="等线" w:cs="宋体" w:hint="eastAsia"/>
                <w:b/>
                <w:bCs/>
                <w:kern w:val="0"/>
                <w:sz w:val="24"/>
              </w:rPr>
            </w:pPr>
            <w:r>
              <w:rPr>
                <w:rFonts w:ascii="方正粗宋简体" w:eastAsia="方正粗宋简体" w:hAnsi="等线" w:cs="宋体" w:hint="eastAsia"/>
                <w:b/>
                <w:bCs/>
                <w:kern w:val="0"/>
                <w:sz w:val="24"/>
              </w:rPr>
              <w:t>学校名称</w:t>
            </w:r>
          </w:p>
        </w:tc>
        <w:tc>
          <w:tcPr>
            <w:tcW w:w="1351" w:type="dxa"/>
            <w:vAlign w:val="center"/>
            <w:hideMark/>
          </w:tcPr>
          <w:p w:rsidR="002B6B77" w:rsidRDefault="002B6B77">
            <w:pPr>
              <w:widowControl/>
              <w:jc w:val="center"/>
              <w:rPr>
                <w:rFonts w:ascii="方正粗宋简体" w:eastAsia="方正粗宋简体" w:hAnsi="等线" w:cs="宋体" w:hint="eastAsia"/>
                <w:b/>
                <w:bCs/>
                <w:kern w:val="0"/>
                <w:sz w:val="24"/>
              </w:rPr>
            </w:pPr>
            <w:r>
              <w:rPr>
                <w:rFonts w:ascii="方正粗宋简体" w:eastAsia="方正粗宋简体" w:hAnsi="等线" w:cs="宋体" w:hint="eastAsia"/>
                <w:b/>
                <w:bCs/>
                <w:kern w:val="0"/>
                <w:sz w:val="24"/>
              </w:rPr>
              <w:t>项目类别</w:t>
            </w:r>
          </w:p>
        </w:tc>
        <w:tc>
          <w:tcPr>
            <w:tcW w:w="4961" w:type="dxa"/>
            <w:vAlign w:val="center"/>
            <w:hideMark/>
          </w:tcPr>
          <w:p w:rsidR="002B6B77" w:rsidRDefault="002B6B77">
            <w:pPr>
              <w:widowControl/>
              <w:jc w:val="center"/>
              <w:rPr>
                <w:rFonts w:ascii="方正粗宋简体" w:eastAsia="方正粗宋简体" w:hAnsi="等线" w:cs="宋体" w:hint="eastAsia"/>
                <w:b/>
                <w:bCs/>
                <w:kern w:val="0"/>
                <w:sz w:val="24"/>
              </w:rPr>
            </w:pPr>
            <w:r>
              <w:rPr>
                <w:rFonts w:ascii="方正粗宋简体" w:eastAsia="方正粗宋简体" w:hAnsi="等线" w:cs="宋体" w:hint="eastAsia"/>
                <w:b/>
                <w:bCs/>
                <w:kern w:val="0"/>
                <w:sz w:val="24"/>
              </w:rPr>
              <w:t>项目名称</w:t>
            </w:r>
          </w:p>
        </w:tc>
      </w:tr>
      <w:tr w:rsidR="002B6B77" w:rsidTr="002B6B77">
        <w:trPr>
          <w:trHeight w:val="20"/>
        </w:trPr>
        <w:tc>
          <w:tcPr>
            <w:tcW w:w="959"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1</w:t>
            </w:r>
          </w:p>
        </w:tc>
        <w:tc>
          <w:tcPr>
            <w:tcW w:w="2328"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重庆大学</w:t>
            </w:r>
          </w:p>
        </w:tc>
        <w:tc>
          <w:tcPr>
            <w:tcW w:w="135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网络育人</w:t>
            </w:r>
          </w:p>
        </w:tc>
        <w:tc>
          <w:tcPr>
            <w:tcW w:w="496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“五位一体”构建网络育人格局</w:t>
            </w:r>
          </w:p>
        </w:tc>
      </w:tr>
      <w:tr w:rsidR="002B6B77" w:rsidTr="002B6B77">
        <w:trPr>
          <w:trHeight w:val="20"/>
        </w:trPr>
        <w:tc>
          <w:tcPr>
            <w:tcW w:w="959"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2</w:t>
            </w:r>
          </w:p>
        </w:tc>
        <w:tc>
          <w:tcPr>
            <w:tcW w:w="2328"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西南政法大学</w:t>
            </w:r>
          </w:p>
        </w:tc>
        <w:tc>
          <w:tcPr>
            <w:tcW w:w="135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网络育人</w:t>
            </w:r>
          </w:p>
        </w:tc>
        <w:tc>
          <w:tcPr>
            <w:tcW w:w="496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兴文化，育新人：以大学生网络文化工作室建设引领学校网络育人新模式</w:t>
            </w:r>
          </w:p>
        </w:tc>
      </w:tr>
      <w:tr w:rsidR="002B6B77" w:rsidTr="002B6B77">
        <w:trPr>
          <w:trHeight w:val="20"/>
        </w:trPr>
        <w:tc>
          <w:tcPr>
            <w:tcW w:w="959"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3</w:t>
            </w:r>
          </w:p>
        </w:tc>
        <w:tc>
          <w:tcPr>
            <w:tcW w:w="2328"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西南大学</w:t>
            </w:r>
          </w:p>
        </w:tc>
        <w:tc>
          <w:tcPr>
            <w:tcW w:w="135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实践育人</w:t>
            </w:r>
          </w:p>
        </w:tc>
        <w:tc>
          <w:tcPr>
            <w:tcW w:w="496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飞入寻常百姓家：大学生宣讲团推动习近平新时代中国特色社会主义思想入脑入心实践探索</w:t>
            </w:r>
          </w:p>
        </w:tc>
      </w:tr>
      <w:tr w:rsidR="002B6B77" w:rsidTr="002B6B77">
        <w:trPr>
          <w:trHeight w:val="20"/>
        </w:trPr>
        <w:tc>
          <w:tcPr>
            <w:tcW w:w="959"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4</w:t>
            </w:r>
          </w:p>
        </w:tc>
        <w:tc>
          <w:tcPr>
            <w:tcW w:w="2328"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四川外国语大学</w:t>
            </w:r>
          </w:p>
        </w:tc>
        <w:tc>
          <w:tcPr>
            <w:tcW w:w="135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实践育人</w:t>
            </w:r>
          </w:p>
        </w:tc>
        <w:tc>
          <w:tcPr>
            <w:tcW w:w="496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“四方协同、六位一体：服务精准扶贫战略的实践育人路径创新</w:t>
            </w:r>
          </w:p>
        </w:tc>
      </w:tr>
      <w:tr w:rsidR="002B6B77" w:rsidTr="002B6B77">
        <w:trPr>
          <w:trHeight w:val="20"/>
        </w:trPr>
        <w:tc>
          <w:tcPr>
            <w:tcW w:w="959"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5</w:t>
            </w:r>
          </w:p>
        </w:tc>
        <w:tc>
          <w:tcPr>
            <w:tcW w:w="2328"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重庆师范大学</w:t>
            </w:r>
          </w:p>
        </w:tc>
        <w:tc>
          <w:tcPr>
            <w:tcW w:w="135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文化育人</w:t>
            </w:r>
          </w:p>
        </w:tc>
        <w:tc>
          <w:tcPr>
            <w:tcW w:w="496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以社会主义核心价值观为引领，构建多维共生的文化育人体系</w:t>
            </w:r>
          </w:p>
        </w:tc>
      </w:tr>
      <w:tr w:rsidR="002B6B77" w:rsidTr="002B6B77">
        <w:trPr>
          <w:trHeight w:val="20"/>
        </w:trPr>
        <w:tc>
          <w:tcPr>
            <w:tcW w:w="959"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6</w:t>
            </w:r>
          </w:p>
        </w:tc>
        <w:tc>
          <w:tcPr>
            <w:tcW w:w="2328"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重庆文理学院</w:t>
            </w:r>
          </w:p>
        </w:tc>
        <w:tc>
          <w:tcPr>
            <w:tcW w:w="135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文化育人</w:t>
            </w:r>
          </w:p>
        </w:tc>
        <w:tc>
          <w:tcPr>
            <w:tcW w:w="496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文化遗产传承在高校文化育人中的探索</w:t>
            </w:r>
          </w:p>
        </w:tc>
      </w:tr>
      <w:tr w:rsidR="002B6B77" w:rsidTr="002B6B77">
        <w:trPr>
          <w:trHeight w:val="20"/>
        </w:trPr>
        <w:tc>
          <w:tcPr>
            <w:tcW w:w="959"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7</w:t>
            </w:r>
          </w:p>
        </w:tc>
        <w:tc>
          <w:tcPr>
            <w:tcW w:w="2328"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重庆工商大学</w:t>
            </w:r>
          </w:p>
        </w:tc>
        <w:tc>
          <w:tcPr>
            <w:tcW w:w="135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组织育人</w:t>
            </w:r>
          </w:p>
        </w:tc>
        <w:tc>
          <w:tcPr>
            <w:tcW w:w="496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以学生党员服务站为引领，构建学风导向的思政育人体系</w:t>
            </w:r>
          </w:p>
        </w:tc>
      </w:tr>
      <w:tr w:rsidR="002B6B77" w:rsidTr="002B6B77">
        <w:trPr>
          <w:trHeight w:val="20"/>
        </w:trPr>
        <w:tc>
          <w:tcPr>
            <w:tcW w:w="959"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8</w:t>
            </w:r>
          </w:p>
        </w:tc>
        <w:tc>
          <w:tcPr>
            <w:tcW w:w="2328"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长江师范学院</w:t>
            </w:r>
          </w:p>
        </w:tc>
        <w:tc>
          <w:tcPr>
            <w:tcW w:w="135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组织育人</w:t>
            </w:r>
          </w:p>
        </w:tc>
        <w:tc>
          <w:tcPr>
            <w:tcW w:w="496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大学生预备役连队建设——大学生思想政治教育创新载体</w:t>
            </w:r>
          </w:p>
        </w:tc>
      </w:tr>
      <w:tr w:rsidR="002B6B77" w:rsidTr="002B6B77">
        <w:trPr>
          <w:trHeight w:val="20"/>
        </w:trPr>
        <w:tc>
          <w:tcPr>
            <w:tcW w:w="959"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9</w:t>
            </w:r>
          </w:p>
        </w:tc>
        <w:tc>
          <w:tcPr>
            <w:tcW w:w="2328"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四川美术学院</w:t>
            </w:r>
          </w:p>
        </w:tc>
        <w:tc>
          <w:tcPr>
            <w:tcW w:w="135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课程育人</w:t>
            </w:r>
          </w:p>
        </w:tc>
        <w:tc>
          <w:tcPr>
            <w:tcW w:w="496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“思政+艺术”的课程育人实践与研究</w:t>
            </w:r>
          </w:p>
        </w:tc>
      </w:tr>
      <w:tr w:rsidR="002B6B77" w:rsidTr="002B6B77">
        <w:trPr>
          <w:trHeight w:val="20"/>
        </w:trPr>
        <w:tc>
          <w:tcPr>
            <w:tcW w:w="959"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10</w:t>
            </w:r>
          </w:p>
        </w:tc>
        <w:tc>
          <w:tcPr>
            <w:tcW w:w="2328"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重庆邮电大学</w:t>
            </w:r>
          </w:p>
        </w:tc>
        <w:tc>
          <w:tcPr>
            <w:tcW w:w="135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心理育人</w:t>
            </w:r>
          </w:p>
        </w:tc>
        <w:tc>
          <w:tcPr>
            <w:tcW w:w="496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新形势 新方向 新技术：“三全育人”心理健康教育工作模式的新探索</w:t>
            </w:r>
          </w:p>
        </w:tc>
      </w:tr>
      <w:tr w:rsidR="002B6B77" w:rsidTr="002B6B77">
        <w:trPr>
          <w:trHeight w:val="20"/>
        </w:trPr>
        <w:tc>
          <w:tcPr>
            <w:tcW w:w="959"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11</w:t>
            </w:r>
          </w:p>
        </w:tc>
        <w:tc>
          <w:tcPr>
            <w:tcW w:w="2328"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重庆师范大学涉外商贸学院</w:t>
            </w:r>
          </w:p>
        </w:tc>
        <w:tc>
          <w:tcPr>
            <w:tcW w:w="135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资助育人</w:t>
            </w:r>
          </w:p>
        </w:tc>
        <w:tc>
          <w:tcPr>
            <w:tcW w:w="496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助困砺志，精准帮扶——全域构建“12345”发展型资助育人新模式</w:t>
            </w:r>
          </w:p>
        </w:tc>
      </w:tr>
      <w:tr w:rsidR="002B6B77" w:rsidTr="002B6B77">
        <w:trPr>
          <w:trHeight w:val="20"/>
        </w:trPr>
        <w:tc>
          <w:tcPr>
            <w:tcW w:w="959"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12</w:t>
            </w:r>
          </w:p>
        </w:tc>
        <w:tc>
          <w:tcPr>
            <w:tcW w:w="2328"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重庆电子工程职业学院</w:t>
            </w:r>
          </w:p>
        </w:tc>
        <w:tc>
          <w:tcPr>
            <w:tcW w:w="135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管理育人</w:t>
            </w:r>
          </w:p>
        </w:tc>
        <w:tc>
          <w:tcPr>
            <w:tcW w:w="4961" w:type="dxa"/>
            <w:vAlign w:val="center"/>
            <w:hideMark/>
          </w:tcPr>
          <w:p w:rsidR="002B6B77" w:rsidRPr="002B6B77" w:rsidRDefault="002B6B77" w:rsidP="002B6B77">
            <w:pPr>
              <w:widowControl/>
              <w:spacing w:line="360" w:lineRule="exact"/>
              <w:jc w:val="center"/>
              <w:rPr>
                <w:rFonts w:ascii="方正仿宋_GBK" w:eastAsia="方正仿宋_GBK" w:hAnsi="仿宋" w:cs="宋体" w:hint="eastAsia"/>
                <w:color w:val="000000"/>
                <w:kern w:val="0"/>
                <w:sz w:val="24"/>
              </w:rPr>
            </w:pPr>
            <w:r w:rsidRPr="002B6B77">
              <w:rPr>
                <w:rFonts w:ascii="方正仿宋_GBK" w:eastAsia="方正仿宋_GBK" w:hAnsi="仿宋" w:cs="宋体" w:hint="eastAsia"/>
                <w:color w:val="000000"/>
                <w:kern w:val="0"/>
                <w:sz w:val="24"/>
              </w:rPr>
              <w:t>构建“一体三翼 六讲八双 四步循环”高职学生素质教育智慧管理模式——以重庆电子工程职业学院为例</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13</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西南大学</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心理育人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高校“贯通式”心理育人实践与探索</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14</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西南政法大学</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课程育人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中国特色社会主义法治理论的教育与传播</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15</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重庆邮电大学</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实践育人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以梦引创、以研促创、学创互动筑建双创实践育人新高地</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16</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四川外国语大学</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文化育人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构建“八大平台”，把“双红基因”和“多元文化”融入“三全育人”实践体系</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lastRenderedPageBreak/>
              <w:t>17</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重庆三峡学院</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资助育人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高校家庭经济困难学生“1356” 发展型资助育人体系的构建与实践</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18</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长江师范学院</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服务育人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“六位一体”青春e站学生社区</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19</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重庆第二师范学院</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实践育人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助力脱贫攻坚、坚持知行合一 ——基于暑期社会实践育人模式的探索实践</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20</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重庆工程职业技术学院</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网络育人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基于虚拟代言人的“三维融通 四位一体”网络思政育人体系构建与实践</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21</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重庆三峡职业学院</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管理育人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大数据背景下高职院校“12386”管理育人模式研究与实践</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22</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重庆工贸职业技术学院</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心理育人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“育心灵之根，树栋梁之才”大学生心理素质拓展训练工程</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23</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西南大学</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科研育人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弘传科学家精神，担当民族复兴大任——西南大学科研育人“求真计划”建设工程</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24</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重庆医科大学</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科研育人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医学生“英耀计划”创新发展育人项目</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25</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重庆邮电大学</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组织育人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“五力”并举 打造功能型组织育人新引擎</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26</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重庆工商大学</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心理育人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基于“五抓五建”工作法的“34567”心理育人模式的构建与创新</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27</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重庆理工大学</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科研育人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创新工场激发学生内生力，构筑三全育人大格局</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28</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重庆文理学院</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管理育人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 xml:space="preserve">“四维协同 </w:t>
            </w:r>
            <w:r w:rsidRPr="002B6B77">
              <w:rPr>
                <w:rFonts w:ascii="宋体" w:hAnsi="宋体" w:cs="宋体" w:hint="eastAsia"/>
                <w:sz w:val="24"/>
              </w:rPr>
              <w:t>•</w:t>
            </w:r>
            <w:r w:rsidRPr="002B6B77">
              <w:rPr>
                <w:rFonts w:ascii="方正仿宋_GBK" w:eastAsia="方正仿宋_GBK" w:hint="eastAsia"/>
                <w:sz w:val="24"/>
              </w:rPr>
              <w:t xml:space="preserve"> 立德促行”管理育人创新模式的探索与实践</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29</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重庆第二师范学院</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服务育人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“厚情润物”服务育人的探索实践</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30</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重庆工业职业技术学院</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课程育人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“三域融合 三阶递进 三方共评”课程劳育模式构建</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31</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重庆工程职业技术学院</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服务育人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基于“融化式育人”模式的“一站式学生社区”服务育人体系构建与实践</w:t>
            </w:r>
          </w:p>
        </w:tc>
      </w:tr>
      <w:tr w:rsidR="002B6B77" w:rsidTr="002B6B77">
        <w:trPr>
          <w:trHeight w:val="20"/>
        </w:trPr>
        <w:tc>
          <w:tcPr>
            <w:tcW w:w="959"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32</w:t>
            </w:r>
          </w:p>
        </w:tc>
        <w:tc>
          <w:tcPr>
            <w:tcW w:w="2328"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重庆商务职业学院</w:t>
            </w:r>
          </w:p>
        </w:tc>
        <w:tc>
          <w:tcPr>
            <w:tcW w:w="135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资助育人</w:t>
            </w:r>
          </w:p>
        </w:tc>
        <w:tc>
          <w:tcPr>
            <w:tcW w:w="4961" w:type="dxa"/>
            <w:vAlign w:val="center"/>
          </w:tcPr>
          <w:p w:rsidR="002B6B77" w:rsidRPr="002B6B77" w:rsidRDefault="002B6B77" w:rsidP="002B6B77">
            <w:pPr>
              <w:spacing w:line="360" w:lineRule="exact"/>
              <w:jc w:val="center"/>
              <w:rPr>
                <w:rFonts w:ascii="方正仿宋_GBK" w:eastAsia="方正仿宋_GBK" w:hint="eastAsia"/>
                <w:sz w:val="24"/>
              </w:rPr>
            </w:pPr>
            <w:r w:rsidRPr="002B6B77">
              <w:rPr>
                <w:rFonts w:ascii="方正仿宋_GBK" w:eastAsia="方正仿宋_GBK" w:hint="eastAsia"/>
                <w:sz w:val="24"/>
              </w:rPr>
              <w:t>“一四六一”资助育人模式构建</w:t>
            </w:r>
          </w:p>
        </w:tc>
      </w:tr>
    </w:tbl>
    <w:p w:rsidR="009F3425" w:rsidRPr="002B6B77" w:rsidRDefault="009F3425"/>
    <w:sectPr w:rsidR="009F3425" w:rsidRPr="002B6B77" w:rsidSect="002B6B77">
      <w:pgSz w:w="11906" w:h="16838"/>
      <w:pgMar w:top="1985" w:right="1446" w:bottom="1644" w:left="144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7EE" w:rsidRDefault="008C47EE" w:rsidP="002B6B77">
      <w:r>
        <w:separator/>
      </w:r>
    </w:p>
  </w:endnote>
  <w:endnote w:type="continuationSeparator" w:id="0">
    <w:p w:rsidR="008C47EE" w:rsidRDefault="008C47EE" w:rsidP="002B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粗宋简体">
    <w:altName w:val="宋体"/>
    <w:panose1 w:val="00000000000000000000"/>
    <w:charset w:val="86"/>
    <w:family w:val="roman"/>
    <w:notTrueType/>
    <w:pitch w:val="default"/>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7EE" w:rsidRDefault="008C47EE" w:rsidP="002B6B77">
      <w:r>
        <w:separator/>
      </w:r>
    </w:p>
  </w:footnote>
  <w:footnote w:type="continuationSeparator" w:id="0">
    <w:p w:rsidR="008C47EE" w:rsidRDefault="008C47EE" w:rsidP="002B6B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092"/>
    <w:rsid w:val="002B6B77"/>
    <w:rsid w:val="008C47EE"/>
    <w:rsid w:val="009F3425"/>
    <w:rsid w:val="00CC3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DB920"/>
  <w15:chartTrackingRefBased/>
  <w15:docId w15:val="{E94C154C-3F2A-4F71-8A01-B2A34015E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B7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6B7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B6B77"/>
    <w:rPr>
      <w:sz w:val="18"/>
      <w:szCs w:val="18"/>
    </w:rPr>
  </w:style>
  <w:style w:type="paragraph" w:styleId="a5">
    <w:name w:val="footer"/>
    <w:basedOn w:val="a"/>
    <w:link w:val="a6"/>
    <w:uiPriority w:val="99"/>
    <w:unhideWhenUsed/>
    <w:rsid w:val="002B6B77"/>
    <w:pPr>
      <w:tabs>
        <w:tab w:val="center" w:pos="4153"/>
        <w:tab w:val="right" w:pos="8306"/>
      </w:tabs>
      <w:snapToGrid w:val="0"/>
      <w:jc w:val="left"/>
    </w:pPr>
    <w:rPr>
      <w:sz w:val="18"/>
      <w:szCs w:val="18"/>
    </w:rPr>
  </w:style>
  <w:style w:type="character" w:customStyle="1" w:styleId="a6">
    <w:name w:val="页脚 字符"/>
    <w:basedOn w:val="a0"/>
    <w:link w:val="a5"/>
    <w:uiPriority w:val="99"/>
    <w:rsid w:val="002B6B77"/>
    <w:rPr>
      <w:sz w:val="18"/>
      <w:szCs w:val="18"/>
    </w:rPr>
  </w:style>
  <w:style w:type="table" w:styleId="a7">
    <w:name w:val="Table Grid"/>
    <w:basedOn w:val="a1"/>
    <w:uiPriority w:val="59"/>
    <w:rsid w:val="002B6B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38374">
      <w:bodyDiv w:val="1"/>
      <w:marLeft w:val="0"/>
      <w:marRight w:val="0"/>
      <w:marTop w:val="0"/>
      <w:marBottom w:val="0"/>
      <w:divBdr>
        <w:top w:val="none" w:sz="0" w:space="0" w:color="auto"/>
        <w:left w:val="none" w:sz="0" w:space="0" w:color="auto"/>
        <w:bottom w:val="none" w:sz="0" w:space="0" w:color="auto"/>
        <w:right w:val="none" w:sz="0" w:space="0" w:color="auto"/>
      </w:divBdr>
    </w:div>
    <w:div w:id="117036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215</Words>
  <Characters>1228</Characters>
  <Application>Microsoft Office Word</Application>
  <DocSecurity>0</DocSecurity>
  <Lines>10</Lines>
  <Paragraphs>2</Paragraphs>
  <ScaleCrop>false</ScaleCrop>
  <Company>HP Inc.</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姜瑞民</dc:creator>
  <cp:keywords/>
  <dc:description/>
  <cp:lastModifiedBy>姜瑞民</cp:lastModifiedBy>
  <cp:revision>2</cp:revision>
  <dcterms:created xsi:type="dcterms:W3CDTF">2021-09-03T08:56:00Z</dcterms:created>
  <dcterms:modified xsi:type="dcterms:W3CDTF">2021-09-03T09:05:00Z</dcterms:modified>
</cp:coreProperties>
</file>